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06DD">
      <w:pPr>
        <w:pStyle w:val="2"/>
        <w:keepNext w:val="0"/>
        <w:keepLines w:val="0"/>
        <w:pageBreakBefore w:val="0"/>
        <w:kinsoku/>
        <w:wordWrap/>
        <w:overflowPunct/>
        <w:topLinePunct w:val="0"/>
        <w:autoSpaceDE/>
        <w:autoSpaceDN/>
        <w:bidi w:val="0"/>
        <w:snapToGrid/>
        <w:spacing w:line="288" w:lineRule="auto"/>
        <w:ind w:left="0" w:leftChars="0" w:firstLine="0" w:firstLineChars="0"/>
        <w:jc w:val="center"/>
        <w:rPr>
          <w:rFonts w:hint="eastAsia" w:ascii="新宋体" w:hAnsi="新宋体" w:eastAsia="新宋体" w:cs="新宋体"/>
          <w:sz w:val="44"/>
          <w:szCs w:val="44"/>
        </w:rPr>
      </w:pPr>
      <w:r>
        <w:rPr>
          <w:rFonts w:hint="eastAsia" w:ascii="新宋体" w:hAnsi="新宋体" w:eastAsia="新宋体" w:cs="新宋体"/>
          <w:sz w:val="44"/>
          <w:szCs w:val="44"/>
        </w:rPr>
        <w:t>租 赁 合 同</w:t>
      </w:r>
    </w:p>
    <w:p w14:paraId="47C2BB1A">
      <w:pPr>
        <w:pStyle w:val="2"/>
        <w:keepNext w:val="0"/>
        <w:keepLines w:val="0"/>
        <w:pageBreakBefore w:val="0"/>
        <w:kinsoku/>
        <w:wordWrap/>
        <w:overflowPunct/>
        <w:topLinePunct w:val="0"/>
        <w:autoSpaceDE/>
        <w:autoSpaceDN/>
        <w:bidi w:val="0"/>
        <w:snapToGrid/>
        <w:spacing w:line="288" w:lineRule="auto"/>
        <w:ind w:firstLine="6960" w:firstLineChars="2900"/>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合同编号：   </w:t>
      </w:r>
    </w:p>
    <w:p w14:paraId="350B5423">
      <w:pPr>
        <w:keepNext w:val="0"/>
        <w:keepLines w:val="0"/>
        <w:pageBreakBefore w:val="0"/>
        <w:kinsoku/>
        <w:wordWrap/>
        <w:overflowPunct/>
        <w:topLinePunct w:val="0"/>
        <w:autoSpaceDE/>
        <w:autoSpaceDN/>
        <w:bidi w:val="0"/>
        <w:snapToGrid/>
        <w:spacing w:before="156" w:beforeLines="50" w:line="288" w:lineRule="auto"/>
        <w:ind w:firstLine="472" w:firstLineChars="196"/>
        <w:jc w:val="left"/>
        <w:textAlignment w:val="auto"/>
        <w:rPr>
          <w:rFonts w:hint="eastAsia" w:ascii="新宋体" w:hAnsi="新宋体" w:eastAsia="新宋体" w:cs="新宋体"/>
          <w:b/>
          <w:sz w:val="24"/>
          <w:szCs w:val="24"/>
          <w:u w:val="single"/>
        </w:rPr>
      </w:pPr>
      <w:r>
        <w:rPr>
          <w:rFonts w:hint="eastAsia" w:ascii="新宋体" w:hAnsi="新宋体" w:eastAsia="新宋体" w:cs="新宋体"/>
          <w:b/>
          <w:sz w:val="24"/>
          <w:szCs w:val="24"/>
        </w:rPr>
        <w:t>出租方（甲方）：</w:t>
      </w:r>
      <w:r>
        <w:rPr>
          <w:rFonts w:hint="eastAsia" w:ascii="新宋体" w:hAnsi="新宋体" w:eastAsia="新宋体" w:cs="新宋体"/>
          <w:b/>
          <w:sz w:val="24"/>
          <w:szCs w:val="24"/>
          <w:u w:val="single"/>
        </w:rPr>
        <w:t xml:space="preserve">              </w:t>
      </w:r>
    </w:p>
    <w:p w14:paraId="250B243F">
      <w:pPr>
        <w:keepNext w:val="0"/>
        <w:keepLines w:val="0"/>
        <w:pageBreakBefore w:val="0"/>
        <w:kinsoku/>
        <w:wordWrap/>
        <w:overflowPunct/>
        <w:topLinePunct w:val="0"/>
        <w:autoSpaceDE/>
        <w:autoSpaceDN/>
        <w:bidi w:val="0"/>
        <w:snapToGrid/>
        <w:spacing w:line="288" w:lineRule="auto"/>
        <w:ind w:firstLine="472" w:firstLineChars="196"/>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承租方（乙方）：</w:t>
      </w:r>
      <w:r>
        <w:rPr>
          <w:rFonts w:hint="eastAsia" w:ascii="新宋体" w:hAnsi="新宋体" w:eastAsia="新宋体" w:cs="新宋体"/>
          <w:b/>
          <w:sz w:val="24"/>
          <w:szCs w:val="24"/>
          <w:u w:val="single"/>
        </w:rPr>
        <w:t xml:space="preserve">              </w:t>
      </w:r>
    </w:p>
    <w:p w14:paraId="317D7C3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 xml:space="preserve">根据《中华人民共和国民法典》及其他相关法律、法规之规定，甲、乙双方在平等、自愿的基础上，就物业租赁事宜订立本合同： </w:t>
      </w:r>
    </w:p>
    <w:p w14:paraId="71A1783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第一条  租赁物业的基本情况</w:t>
      </w:r>
    </w:p>
    <w:p w14:paraId="2572D6F1">
      <w:pPr>
        <w:keepNext w:val="0"/>
        <w:keepLines w:val="0"/>
        <w:pageBreakBefore w:val="0"/>
        <w:kinsoku/>
        <w:wordWrap/>
        <w:overflowPunct/>
        <w:topLinePunct w:val="0"/>
        <w:autoSpaceDE/>
        <w:autoSpaceDN/>
        <w:bidi w:val="0"/>
        <w:snapToGrid/>
        <w:spacing w:line="288" w:lineRule="auto"/>
        <w:ind w:left="239" w:leftChars="114" w:firstLine="240" w:firstLineChars="100"/>
        <w:jc w:val="left"/>
        <w:textAlignment w:val="auto"/>
        <w:rPr>
          <w:rFonts w:hint="eastAsia" w:ascii="新宋体" w:hAnsi="新宋体" w:eastAsia="新宋体" w:cs="新宋体"/>
          <w:bCs/>
          <w:sz w:val="24"/>
          <w:szCs w:val="24"/>
          <w:u w:val="single"/>
        </w:rPr>
      </w:pPr>
      <w:r>
        <w:rPr>
          <w:rFonts w:hint="eastAsia" w:ascii="新宋体" w:hAnsi="新宋体" w:eastAsia="新宋体" w:cs="新宋体"/>
          <w:bCs/>
          <w:sz w:val="24"/>
          <w:szCs w:val="24"/>
        </w:rPr>
        <w:t>1.1 租赁物业坐落于</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（以下简称 “物业” ），建筑面积</w:t>
      </w:r>
    </w:p>
    <w:p w14:paraId="1F0E8657">
      <w:pPr>
        <w:keepNext w:val="0"/>
        <w:keepLines w:val="0"/>
        <w:pageBreakBefore w:val="0"/>
        <w:kinsoku/>
        <w:wordWrap/>
        <w:overflowPunct/>
        <w:topLinePunct w:val="0"/>
        <w:autoSpaceDE/>
        <w:autoSpaceDN/>
        <w:bidi w:val="0"/>
        <w:snapToGrid/>
        <w:spacing w:line="288" w:lineRule="auto"/>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㎡、场地面积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㎡，出租给乙方使用。</w:t>
      </w:r>
    </w:p>
    <w:p w14:paraId="11CD513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1.2 乙方确认已对上述物业的现状进行了全面了解和勘查，且无任何异议，同意按照物业交付时的现状承租。</w:t>
      </w:r>
    </w:p>
    <w:p w14:paraId="7DFE78A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第二条  租赁用途</w:t>
      </w:r>
    </w:p>
    <w:p w14:paraId="1A560F26">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highlight w:val="green"/>
        </w:rPr>
      </w:pPr>
      <w:r>
        <w:rPr>
          <w:rFonts w:hint="eastAsia" w:ascii="新宋体" w:hAnsi="新宋体" w:eastAsia="新宋体" w:cs="新宋体"/>
          <w:bCs/>
          <w:sz w:val="24"/>
          <w:szCs w:val="24"/>
        </w:rPr>
        <w:t>租赁物业用途为</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，未征得甲方书面同意或有关部门审批核准前，不擅自改变使用用途。如乙方违反本条款约定导致甲方损失，应承担全部赔偿责任。</w:t>
      </w:r>
    </w:p>
    <w:p w14:paraId="269DAC1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第三条  租赁期限</w:t>
      </w:r>
    </w:p>
    <w:p w14:paraId="359C75C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租赁期限</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年，自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止。甲方给予乙方</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个月物业（不含车位）免租金</w:t>
      </w:r>
      <w:r>
        <w:rPr>
          <w:rFonts w:hint="eastAsia" w:ascii="新宋体" w:hAnsi="新宋体" w:eastAsia="新宋体" w:cs="新宋体"/>
          <w:bCs/>
          <w:sz w:val="24"/>
          <w:szCs w:val="24"/>
          <w:lang w:val="en-US" w:eastAsia="zh-CN"/>
        </w:rPr>
        <w:t>装修</w:t>
      </w:r>
      <w:r>
        <w:rPr>
          <w:rFonts w:hint="eastAsia" w:ascii="新宋体" w:hAnsi="新宋体" w:eastAsia="新宋体" w:cs="新宋体"/>
          <w:bCs/>
          <w:sz w:val="24"/>
          <w:szCs w:val="24"/>
        </w:rPr>
        <w:t>期，自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w:t>
      </w:r>
    </w:p>
    <w:p w14:paraId="373A0BCC">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第四条  租金及支付</w:t>
      </w:r>
    </w:p>
    <w:p w14:paraId="0B0DEE60">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bCs/>
          <w:sz w:val="24"/>
          <w:szCs w:val="24"/>
        </w:rPr>
        <w:t>人民币</w:t>
      </w:r>
      <w:r>
        <w:rPr>
          <w:rFonts w:hint="eastAsia" w:ascii="新宋体" w:hAnsi="新宋体" w:eastAsia="新宋体" w:cs="新宋体"/>
          <w:b/>
          <w:sz w:val="24"/>
          <w:szCs w:val="24"/>
        </w:rPr>
        <w:t>（币种下同）</w:t>
      </w:r>
      <w:r>
        <w:rPr>
          <w:rFonts w:hint="eastAsia" w:ascii="新宋体" w:hAnsi="新宋体" w:eastAsia="新宋体" w:cs="新宋体"/>
          <w:b/>
          <w:bCs/>
          <w:sz w:val="24"/>
          <w:szCs w:val="24"/>
          <w:u w:val="single"/>
        </w:rPr>
        <w:t xml:space="preserve">          </w:t>
      </w:r>
      <w:r>
        <w:rPr>
          <w:rFonts w:hint="eastAsia" w:ascii="新宋体" w:hAnsi="新宋体" w:eastAsia="新宋体" w:cs="新宋体"/>
          <w:b/>
          <w:bCs/>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w:t>
      </w: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u w:val="single"/>
          <w:lang w:val="en-US" w:eastAsia="zh-CN"/>
        </w:rPr>
        <w:t xml:space="preserve">    </w:t>
      </w:r>
      <w:bookmarkStart w:id="0" w:name="_GoBack"/>
      <w:bookmarkEnd w:id="0"/>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w:t>
      </w:r>
    </w:p>
    <w:p w14:paraId="5418357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租金按期缴交，每三个月为一期，首期租金应于</w:t>
      </w:r>
      <w:r>
        <w:rPr>
          <w:rFonts w:hint="eastAsia" w:ascii="新宋体" w:hAnsi="新宋体" w:eastAsia="新宋体" w:cs="新宋体"/>
          <w:bCs/>
          <w:sz w:val="24"/>
          <w:szCs w:val="24"/>
          <w:lang w:eastAsia="zh-Hans"/>
        </w:rPr>
        <w:t>本</w:t>
      </w:r>
      <w:r>
        <w:rPr>
          <w:rFonts w:hint="eastAsia" w:ascii="新宋体" w:hAnsi="新宋体" w:eastAsia="新宋体" w:cs="新宋体"/>
          <w:bCs/>
          <w:sz w:val="24"/>
          <w:szCs w:val="24"/>
        </w:rPr>
        <w:t>合同签订之日支付，后续租金应于每期首月前10日内支付，租金均为含税价格。</w:t>
      </w:r>
    </w:p>
    <w:p w14:paraId="2B4BBDA8">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第五条  履约保证金</w:t>
      </w:r>
    </w:p>
    <w:p w14:paraId="6B3CCA0F">
      <w:pPr>
        <w:keepNext w:val="0"/>
        <w:keepLines w:val="0"/>
        <w:pageBreakBefore w:val="0"/>
        <w:kinsoku/>
        <w:wordWrap/>
        <w:overflowPunct/>
        <w:topLinePunct w:val="0"/>
        <w:autoSpaceDE/>
        <w:autoSpaceDN/>
        <w:bidi w:val="0"/>
        <w:snapToGrid/>
        <w:spacing w:line="240"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5.1 乙方应于本合同签订之日前向甲方支付履约保证金</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元）。合同期满或终止时，乙方在结清租赁物业使用期间应支付的一切费用后且无其他违约行为的情况下，甲方无息退还履约保证金。</w:t>
      </w:r>
    </w:p>
    <w:p w14:paraId="06838EF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5.2 若乙方拖欠甲方</w:t>
      </w:r>
      <w:r>
        <w:rPr>
          <w:rFonts w:hint="eastAsia" w:ascii="新宋体" w:hAnsi="新宋体" w:eastAsia="新宋体" w:cs="新宋体"/>
          <w:bCs/>
          <w:sz w:val="24"/>
          <w:szCs w:val="24"/>
          <w:lang w:eastAsia="zh-Hans"/>
        </w:rPr>
        <w:t>本合同项下相关款项（</w:t>
      </w:r>
      <w:r>
        <w:rPr>
          <w:rFonts w:hint="eastAsia" w:ascii="新宋体" w:hAnsi="新宋体" w:eastAsia="新宋体" w:cs="新宋体"/>
          <w:bCs/>
          <w:sz w:val="24"/>
          <w:szCs w:val="24"/>
        </w:rPr>
        <w:t>包括但不仅限于租金、违约金、赔偿金和其他相关费用</w:t>
      </w:r>
      <w:r>
        <w:rPr>
          <w:rFonts w:hint="eastAsia" w:ascii="新宋体" w:hAnsi="新宋体" w:eastAsia="新宋体" w:cs="新宋体"/>
          <w:bCs/>
          <w:sz w:val="24"/>
          <w:szCs w:val="24"/>
          <w:lang w:eastAsia="zh-Hans"/>
        </w:rPr>
        <w:t>等）</w:t>
      </w:r>
      <w:r>
        <w:rPr>
          <w:rFonts w:hint="eastAsia" w:ascii="新宋体" w:hAnsi="新宋体" w:eastAsia="新宋体" w:cs="新宋体"/>
          <w:bCs/>
          <w:sz w:val="24"/>
          <w:szCs w:val="24"/>
        </w:rPr>
        <w:t>，甲方有权从乙方所缴交的履约保证金中直接抵扣，抵扣顺序由甲方自行决定，不足部分乙方应在收到甲方通知之日起5日内缴清。</w:t>
      </w:r>
    </w:p>
    <w:p w14:paraId="27455ED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第六条 租赁期间相关费用</w:t>
      </w:r>
    </w:p>
    <w:p w14:paraId="0FA38D0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bCs/>
          <w:sz w:val="24"/>
          <w:szCs w:val="24"/>
        </w:rPr>
        <w:t>租赁期间，租赁物业产生的所有</w:t>
      </w:r>
      <w:r>
        <w:rPr>
          <w:rFonts w:hint="eastAsia" w:ascii="新宋体" w:hAnsi="新宋体" w:eastAsia="新宋体" w:cs="新宋体"/>
          <w:sz w:val="24"/>
          <w:szCs w:val="24"/>
        </w:rPr>
        <w:t>费用包括但不限于物业服务费、公维金、卫生费、水费、电费、燃气费、有线电视费、通信网络费、增扩设施设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维修费等均由乙方自行负担。乙方接受物业服务单位的统一管理，按时交纳各项费用。由甲方代缴的费用，乙方必须在每月10日前全额缴交给甲方。水、电、燃气等费用若需甲方开票，由乙方承担开票税费，若因价格、税务政策调整，乙方按新标准承担</w:t>
      </w:r>
      <w:r>
        <w:rPr>
          <w:rFonts w:hint="eastAsia" w:ascii="新宋体" w:hAnsi="新宋体" w:eastAsia="新宋体" w:cs="新宋体"/>
          <w:sz w:val="24"/>
          <w:szCs w:val="24"/>
          <w:lang w:eastAsia="zh-Hans"/>
        </w:rPr>
        <w:t>相应</w:t>
      </w:r>
      <w:r>
        <w:rPr>
          <w:rFonts w:hint="eastAsia" w:ascii="新宋体" w:hAnsi="新宋体" w:eastAsia="新宋体" w:cs="新宋体"/>
          <w:sz w:val="24"/>
          <w:szCs w:val="24"/>
        </w:rPr>
        <w:t>税费。</w:t>
      </w:r>
    </w:p>
    <w:p w14:paraId="0DAC6218">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第七条 物业的移交和接收</w:t>
      </w:r>
    </w:p>
    <w:p w14:paraId="776678E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7.1 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14:paraId="3F0A645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 xml:space="preserve">7.2 </w:t>
      </w:r>
      <w:r>
        <w:rPr>
          <w:rFonts w:hint="eastAsia" w:ascii="新宋体" w:hAnsi="新宋体" w:eastAsia="新宋体" w:cs="新宋体"/>
          <w:b/>
          <w:sz w:val="24"/>
          <w:szCs w:val="24"/>
        </w:rPr>
        <w:t>乙方同意因甲方</w:t>
      </w:r>
      <w:r>
        <w:rPr>
          <w:rFonts w:hint="eastAsia" w:ascii="新宋体" w:hAnsi="新宋体" w:eastAsia="新宋体" w:cs="新宋体"/>
          <w:b/>
          <w:sz w:val="24"/>
          <w:szCs w:val="24"/>
          <w:lang w:eastAsia="zh-Hans"/>
        </w:rPr>
        <w:t>或其他非甲方能够控制的</w:t>
      </w:r>
      <w:r>
        <w:rPr>
          <w:rFonts w:hint="eastAsia" w:ascii="新宋体" w:hAnsi="新宋体" w:eastAsia="新宋体" w:cs="新宋体"/>
          <w:b/>
          <w:sz w:val="24"/>
          <w:szCs w:val="24"/>
        </w:rPr>
        <w:t>原因，本物业可能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14:paraId="43B2251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sz w:val="24"/>
          <w:szCs w:val="24"/>
        </w:rPr>
        <w:t xml:space="preserve">7.3 </w:t>
      </w:r>
      <w:r>
        <w:rPr>
          <w:rFonts w:hint="eastAsia" w:ascii="新宋体" w:hAnsi="新宋体" w:eastAsia="新宋体" w:cs="新宋体"/>
          <w:b/>
          <w:bCs/>
          <w:sz w:val="24"/>
          <w:szCs w:val="24"/>
        </w:rPr>
        <w:t>乙方应于本合同终止、解除（无论何种原因而终止、解除）次日内腾退物业。</w:t>
      </w:r>
    </w:p>
    <w:p w14:paraId="1EEF4C0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第八条 物业的使用</w:t>
      </w:r>
    </w:p>
    <w:p w14:paraId="2F7B101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8.1 甲方不保证或承诺租赁物业及其消防、用电设施设备可以满足乙方现在或日后的经营用途，签约前乙方应自行评估并承担有关风险。签约后，乙方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sz w:val="24"/>
          <w:szCs w:val="24"/>
          <w:lang w:eastAsia="zh-Hans"/>
        </w:rPr>
        <w:t>所需的批准</w:t>
      </w:r>
      <w:r>
        <w:rPr>
          <w:rFonts w:hint="eastAsia" w:ascii="新宋体" w:hAnsi="新宋体" w:eastAsia="新宋体" w:cs="新宋体"/>
          <w:bCs/>
          <w:sz w:val="24"/>
          <w:szCs w:val="24"/>
        </w:rPr>
        <w:t>，乙方仍应承担本合同约定的租金及物业服务费、水费、电费等全部费用。此外，甲方对此不承担任何责任，且乙方不得向甲方主张任何赔偿等权利。</w:t>
      </w:r>
    </w:p>
    <w:p w14:paraId="0707DDB4">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8.2 乙方自行设置广告牌、广告箱等户外广告引起的一切纠纷和责任，均由乙方负责解决并承担责任，且乙方应承担因此给甲方造成的一切损失。</w:t>
      </w:r>
    </w:p>
    <w:p w14:paraId="72D5303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8.3 租赁期间，乙方应保持租赁物业完好，按照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14:paraId="4DA80CB5">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租赁期间，乙方应当遵守国家各项法律法规，不得利用租赁物从事非法或违法犯罪活动。在本合同履行期间（包括但不限于经营、使用等）所引起的一切安全责任、经营责任和债权债务，给甲方造成损失的应予以赔偿。</w:t>
      </w:r>
    </w:p>
    <w:p w14:paraId="26D3EF2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8.4 租赁期内，甲方保留检查乙方对物业使用状况的权利。如对公共部位、共有设施设备进行检测、维修等工作，需要通过或进入物业的，乙方应予以配合。合同履行期间因政府要求或甲方经营管理需要对租赁物业进行检测、鉴定的，由甲方承担有关费用，检测、鉴定期间乙方应积极配合，若因此给乙方造成损失，甲方应给与适当补偿。</w:t>
      </w:r>
    </w:p>
    <w:p w14:paraId="5B608F1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trike/>
          <w:sz w:val="24"/>
          <w:szCs w:val="24"/>
        </w:rPr>
      </w:pPr>
      <w:r>
        <w:rPr>
          <w:rFonts w:hint="eastAsia" w:ascii="新宋体" w:hAnsi="新宋体" w:eastAsia="新宋体" w:cs="新宋体"/>
          <w:sz w:val="24"/>
          <w:szCs w:val="24"/>
        </w:rPr>
        <w:t>8.5 乙方不得以简单赚取差价的行为擅自转租或以合作经营等方式变相转租。若乙方确因经营需要部分或全部转租的，应书面向甲方申请，经甲方同意后，方可转租。</w:t>
      </w:r>
    </w:p>
    <w:p w14:paraId="544E278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8.6 租赁期满，乙方若愿意继续承租，可参与公开招租竞价，在同等条件下享有优先承租权；若乙方不参与竞价的，视为放弃优先承租权。若乙方要求以非公开方式续租，按市国资委文件执行，必须在租赁期满前三个月书面提出申请，双方经协商如能就租赁事宜达成一致，则另行签订租赁合同，并以另行签订的合同为准。</w:t>
      </w:r>
    </w:p>
    <w:p w14:paraId="5C2E8C5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第九条  装修约定</w:t>
      </w:r>
    </w:p>
    <w:p w14:paraId="70FAECE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9.1 租赁期间，乙方确需对物业进行装饰装修，方案须提前报甲方书面同意，并严格按同意后的方案执行，须委托具有相关合法资质的单位按规范施工并按相关要求向政府相关部门办理相关手续。乙方装饰装修不得改动房屋主体结构和承重结构。乙方</w:t>
      </w:r>
      <w:r>
        <w:rPr>
          <w:rFonts w:hint="eastAsia" w:ascii="新宋体" w:hAnsi="新宋体" w:eastAsia="新宋体" w:cs="新宋体"/>
          <w:sz w:val="24"/>
          <w:szCs w:val="24"/>
          <w:lang w:eastAsia="zh-Hans"/>
        </w:rPr>
        <w:t>装修行为产生的一切责任、后果和费用均由乙方自行承担。</w:t>
      </w:r>
    </w:p>
    <w:p w14:paraId="7028C2F7">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9.2 装修结果与提报的装修方案不符的，甲方有权要求乙方整改。乙方应当承担装修过程的安全责任，给甲方造成损失的应予以赔偿。</w:t>
      </w:r>
    </w:p>
    <w:p w14:paraId="1432829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9.3 乙方搬离时，依附于租赁物业的装修添附无偿归甲方所有，乙方所有投入改造及装修的费用，甲方不予任何补偿和赔偿。</w:t>
      </w:r>
    </w:p>
    <w:p w14:paraId="1404E51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9.4 本合同如被宣告全部或者部分无效，乙方自愿承担全部装修损失，承诺不向甲方索赔装修现值损失。本条款作为争议解决条款，效力具有独立性。</w:t>
      </w:r>
    </w:p>
    <w:p w14:paraId="182F8952">
      <w:pPr>
        <w:keepNext w:val="0"/>
        <w:keepLines w:val="0"/>
        <w:pageBreakBefore w:val="0"/>
        <w:numPr>
          <w:ilvl w:val="0"/>
          <w:numId w:val="0"/>
        </w:numPr>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eastAsia="zh-Hans"/>
        </w:rPr>
        <w:t xml:space="preserve">第十条  </w:t>
      </w:r>
      <w:r>
        <w:rPr>
          <w:rFonts w:hint="eastAsia" w:ascii="新宋体" w:hAnsi="新宋体" w:eastAsia="新宋体" w:cs="新宋体"/>
          <w:b/>
          <w:bCs/>
          <w:sz w:val="24"/>
          <w:szCs w:val="24"/>
        </w:rPr>
        <w:t>关于附属设施设备的特别约定</w:t>
      </w:r>
    </w:p>
    <w:p w14:paraId="242FB47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10.1 附属设施设备的所有权属于甲方，乙方对附属设施设备只享有租赁期间的使用权。未经甲方同意，乙方不得将附属设施设备转租或转借，不得在设备上随意增加或减少部件，也不得以任何理由对设备抵押、质押等。</w:t>
      </w:r>
    </w:p>
    <w:p w14:paraId="280A3D6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10.2 租赁期间，乙方应合理使用附属设施设备并承担安全使用责任。因乙方在保管使用附属设施设备过程中造成的任何人身伤害及财产损失的，所有法律责任及后果均由乙方自行承担。 </w:t>
      </w:r>
    </w:p>
    <w:p w14:paraId="79899E1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10.3 乙方保证在合同终止或提前解除时租赁物业及其所属设施设备以可靠运行状态随同租赁物业归还甲方。                                           </w:t>
      </w:r>
    </w:p>
    <w:p w14:paraId="6AF8B9AE">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第十一条  合同解除</w:t>
      </w:r>
    </w:p>
    <w:p w14:paraId="231E8945">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11.1 有下列情形之一的，甲、乙双方均有权解除合同，互不承担责任：</w:t>
      </w:r>
    </w:p>
    <w:p w14:paraId="7C699A8C">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列入拆迁、征用、收储等范围的，或存在</w:t>
      </w:r>
      <w:r>
        <w:rPr>
          <w:rFonts w:hint="eastAsia" w:ascii="新宋体" w:hAnsi="新宋体" w:eastAsia="新宋体" w:cs="新宋体"/>
          <w:bCs/>
          <w:sz w:val="24"/>
          <w:szCs w:val="24"/>
        </w:rPr>
        <w:t>已知历史纠纷没办法解决的，</w:t>
      </w:r>
      <w:r>
        <w:rPr>
          <w:rFonts w:hint="eastAsia" w:ascii="新宋体" w:hAnsi="新宋体" w:eastAsia="新宋体" w:cs="新宋体"/>
          <w:sz w:val="24"/>
          <w:szCs w:val="24"/>
        </w:rPr>
        <w:t>造成</w:t>
      </w:r>
      <w:r>
        <w:rPr>
          <w:rFonts w:hint="eastAsia" w:ascii="新宋体" w:hAnsi="新宋体" w:eastAsia="新宋体" w:cs="新宋体"/>
          <w:bCs/>
          <w:sz w:val="24"/>
          <w:szCs w:val="24"/>
        </w:rPr>
        <w:t>合同目的无法实现的；</w:t>
      </w:r>
    </w:p>
    <w:p w14:paraId="7C7F7AF7">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14:paraId="1DF55A6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14:paraId="34D6A05F">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因上述原因解除合同的，乙方应按照实际使用时间支付租金及其他费用。</w:t>
      </w:r>
    </w:p>
    <w:p w14:paraId="7828222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11.2</w:t>
      </w:r>
      <w:r>
        <w:rPr>
          <w:rFonts w:hint="eastAsia" w:ascii="新宋体" w:hAnsi="新宋体" w:eastAsia="新宋体" w:cs="新宋体"/>
          <w:b/>
          <w:sz w:val="24"/>
          <w:szCs w:val="24"/>
        </w:rPr>
        <w:t xml:space="preserve"> 有下列情形之一的，甲方有权单方面解除合同：</w:t>
      </w:r>
    </w:p>
    <w:p w14:paraId="6A9A414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14:paraId="252FCC2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② 因乙方单方原因逾期 </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日仍未接收物业的；</w:t>
      </w:r>
    </w:p>
    <w:p w14:paraId="420D074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③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14:paraId="6281C0F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14:paraId="630DA5E0">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⑤乙方对该物业进行转让、抵押或采取其他侵犯甲方对物业之所有权或其他权利的行为的；</w:t>
      </w:r>
    </w:p>
    <w:p w14:paraId="446A020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⑥乙方从事违法、犯罪活动的；</w:t>
      </w:r>
    </w:p>
    <w:p w14:paraId="4455DC0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⑦乙方发生安全责任事故的或存在重大安全隐患未按要求整改的；</w:t>
      </w:r>
    </w:p>
    <w:p w14:paraId="60FE57F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乙方未履行其他合同义务，经甲方催告后仍未履行的。</w:t>
      </w:r>
    </w:p>
    <w:p w14:paraId="2291513A">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sz w:val="24"/>
          <w:szCs w:val="24"/>
        </w:rPr>
      </w:pPr>
      <w:r>
        <w:rPr>
          <w:rFonts w:hint="eastAsia" w:ascii="新宋体" w:hAnsi="新宋体" w:eastAsia="新宋体" w:cs="新宋体"/>
          <w:b/>
          <w:sz w:val="24"/>
          <w:szCs w:val="24"/>
        </w:rPr>
        <w:t>因上述情形解除租赁合同的，甲方不退还履约保证金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 xml:space="preserve">。       </w:t>
      </w:r>
    </w:p>
    <w:p w14:paraId="74FFF97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11.3 </w:t>
      </w:r>
      <w:r>
        <w:rPr>
          <w:rFonts w:hint="eastAsia" w:ascii="新宋体" w:hAnsi="新宋体" w:eastAsia="新宋体" w:cs="新宋体"/>
          <w:b/>
          <w:bCs/>
          <w:sz w:val="24"/>
          <w:szCs w:val="24"/>
        </w:rPr>
        <w:t>有下列情形之一的，乙方有权单方解除合同：</w:t>
      </w:r>
    </w:p>
    <w:p w14:paraId="6E5EE2D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①非因乙方原因，自中标通知发出之日起三个月未移交物业；</w:t>
      </w:r>
    </w:p>
    <w:p w14:paraId="6FC21FF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②甲方交付的房屋严重影响乙方使用，造成合同目的无法实现的；</w:t>
      </w:r>
    </w:p>
    <w:p w14:paraId="20C343C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③租赁房屋被司法机关或者行政机关依法查封，造成合同目的无法实现的。</w:t>
      </w:r>
    </w:p>
    <w:p w14:paraId="2CCE53D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11.4 除11.3约定情形外，乙方单方原因需提前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合同的，应提前壹个月书面通知甲方，结清租金及其他相关的费用，并赔偿甲方</w:t>
      </w:r>
      <w:r>
        <w:rPr>
          <w:rFonts w:hint="eastAsia" w:ascii="新宋体" w:hAnsi="新宋体" w:eastAsia="新宋体" w:cs="新宋体"/>
          <w:bCs/>
          <w:sz w:val="24"/>
          <w:szCs w:val="24"/>
        </w:rPr>
        <w:t>贰个月的首期月租金损失</w:t>
      </w:r>
      <w:r>
        <w:rPr>
          <w:rFonts w:hint="eastAsia" w:ascii="新宋体" w:hAnsi="新宋体" w:eastAsia="新宋体" w:cs="新宋体"/>
          <w:sz w:val="24"/>
          <w:szCs w:val="24"/>
        </w:rPr>
        <w:t>。若因此给甲方造成其他损失的，甲方有权继续追偿。</w:t>
      </w:r>
    </w:p>
    <w:p w14:paraId="7D6C569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11.5 甲方对物业进行改造或收回自用需提前解除合同的，应提前壹个月通知乙方，并赔偿乙方贰个月的首期月租金。若因此给乙方造成损失，甲方应给与适当补偿。</w:t>
      </w:r>
    </w:p>
    <w:p w14:paraId="1043DB72">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第十二条  违约责任</w:t>
      </w:r>
    </w:p>
    <w:p w14:paraId="334A7B4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14:paraId="16FF5CA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12.2 </w:t>
      </w:r>
      <w:r>
        <w:rPr>
          <w:rFonts w:hint="eastAsia" w:ascii="新宋体" w:hAnsi="新宋体" w:eastAsia="新宋体" w:cs="新宋体"/>
          <w:b/>
          <w:bCs/>
          <w:sz w:val="24"/>
          <w:szCs w:val="24"/>
        </w:rPr>
        <w:t>乙方逾期腾退的，应按本合同第四条约定的租金标准的2倍支付自逾期腾退之日起至实际返还之日止的占有使用费，并自行承担因此产生的一切责任及损失（包括但不限于安全事故责任及损失）。经甲方催告乙方仍未腾退的，乙方同意甲方有权没收</w:t>
      </w:r>
      <w:r>
        <w:rPr>
          <w:rFonts w:hint="eastAsia" w:ascii="新宋体" w:hAnsi="新宋体" w:eastAsia="新宋体" w:cs="新宋体"/>
          <w:b/>
          <w:bCs/>
          <w:sz w:val="24"/>
          <w:szCs w:val="24"/>
          <w:lang w:eastAsia="zh-Hans"/>
        </w:rPr>
        <w:t>履约保证金</w:t>
      </w:r>
      <w:r>
        <w:rPr>
          <w:rFonts w:hint="eastAsia" w:ascii="新宋体" w:hAnsi="新宋体" w:eastAsia="新宋体" w:cs="新宋体"/>
          <w:b/>
          <w:bCs/>
          <w:sz w:val="24"/>
          <w:szCs w:val="24"/>
        </w:rPr>
        <w:t>外，还有权单方面采取以下措施：①甲方有权开启并更换租赁物业门锁或采取其它措施收回租赁物业；如租赁物业内有滞留物品，视为乙方已放弃该滞留物品的所有权，甲方有权将该滞留物品视为废弃物予以处置并收回租赁物业，处置费用由乙方承担</w:t>
      </w:r>
      <w:r>
        <w:rPr>
          <w:rFonts w:hint="eastAsia" w:ascii="新宋体" w:hAnsi="新宋体" w:eastAsia="新宋体" w:cs="新宋体"/>
          <w:b/>
          <w:bCs/>
          <w:sz w:val="24"/>
          <w:szCs w:val="24"/>
          <w:lang w:eastAsia="zh-Hans"/>
        </w:rPr>
        <w:t>，</w:t>
      </w:r>
      <w:r>
        <w:rPr>
          <w:rFonts w:hint="eastAsia" w:ascii="新宋体" w:hAnsi="新宋体" w:eastAsia="新宋体" w:cs="新宋体"/>
          <w:b/>
          <w:bCs/>
          <w:sz w:val="24"/>
          <w:szCs w:val="24"/>
        </w:rPr>
        <w:t>因此产生的其他所有费用也由乙方承担（包括但不限于搬运费、律师费、诉讼及保全费、保函费、公证费、差旅费、通讯费、评估费、拍卖费等），乙方对此不</w:t>
      </w:r>
      <w:r>
        <w:rPr>
          <w:rFonts w:hint="eastAsia" w:ascii="新宋体" w:hAnsi="新宋体" w:eastAsia="新宋体" w:cs="新宋体"/>
          <w:b/>
          <w:bCs/>
          <w:sz w:val="24"/>
          <w:szCs w:val="24"/>
          <w:lang w:eastAsia="zh-Hans"/>
        </w:rPr>
        <w:t>持</w:t>
      </w:r>
      <w:r>
        <w:rPr>
          <w:rFonts w:hint="eastAsia" w:ascii="新宋体" w:hAnsi="新宋体" w:eastAsia="新宋体" w:cs="新宋体"/>
          <w:b/>
          <w:bCs/>
          <w:sz w:val="24"/>
          <w:szCs w:val="24"/>
        </w:rPr>
        <w:t>有任何异议。若滞留物品涉及第三人权益，因此引起的全部责任及费用概由乙方承担；②甲方有权停止对租赁物业的供水、供电、供气</w:t>
      </w:r>
      <w:r>
        <w:rPr>
          <w:rFonts w:hint="eastAsia" w:ascii="新宋体" w:hAnsi="新宋体" w:eastAsia="新宋体" w:cs="新宋体"/>
          <w:b/>
          <w:bCs/>
          <w:sz w:val="24"/>
          <w:szCs w:val="24"/>
          <w:lang w:eastAsia="zh-Hans"/>
        </w:rPr>
        <w:t>，若因此产生损失，由乙方自行承担</w:t>
      </w:r>
      <w:r>
        <w:rPr>
          <w:rFonts w:hint="eastAsia" w:ascii="新宋体" w:hAnsi="新宋体" w:eastAsia="新宋体" w:cs="新宋体"/>
          <w:b/>
          <w:bCs/>
          <w:sz w:val="24"/>
          <w:szCs w:val="24"/>
        </w:rPr>
        <w:t>。</w:t>
      </w:r>
    </w:p>
    <w:p w14:paraId="2BE5DEEF">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14:paraId="49FF00B4">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14:paraId="20F063C6">
      <w:pPr>
        <w:keepNext w:val="0"/>
        <w:keepLines w:val="0"/>
        <w:pageBreakBefore w:val="0"/>
        <w:kinsoku/>
        <w:wordWrap/>
        <w:overflowPunct/>
        <w:topLinePunct w:val="0"/>
        <w:autoSpaceDE/>
        <w:autoSpaceDN/>
        <w:bidi w:val="0"/>
        <w:snapToGrid/>
        <w:spacing w:line="28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12.5 合同项下的租金、违约金、赔偿金等各项费用具有整体性，诉讼时效合并计算，并自最后一期债务履行期限届满之日起算。</w:t>
      </w:r>
    </w:p>
    <w:p w14:paraId="32945D3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12.6 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14:paraId="0ABA50A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第十三条 安全特别约定</w:t>
      </w:r>
    </w:p>
    <w:p w14:paraId="7FDE933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13.1 租赁期间，乙方是租赁物业的实际使用者及经营管理者，应自行负责租赁物业的安全防范工作（包括但不限于防火、防盗及其他安全措施），确保租赁物业各项使用安全指标符合国家及本市相关标准。乙方在租赁期间发生的人为及自然灾害、意外事故所造成的损失，包括但不限于火灾、人身伤害、安全事故（事件）等，甲方不承担经济赔偿责任，若给甲方造成损失的，乙方应当赔偿。</w:t>
      </w:r>
    </w:p>
    <w:p w14:paraId="7A14A44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13.2 租赁期间，乙方应遵守国家及甲方相关安全管理规定，如未遵守视为违约，甲方有权提前终止合同并要求乙方赔偿一切损失。其中，严令禁止事项包括以为行为：</w:t>
      </w:r>
    </w:p>
    <w:p w14:paraId="6B19A975">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①严禁私接、私拉电线，严禁改变用电负荷或保险装置；</w:t>
      </w:r>
    </w:p>
    <w:p w14:paraId="1850ED7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②严禁电动自行车或电池入户、充电、飞线充电等行为；</w:t>
      </w:r>
    </w:p>
    <w:p w14:paraId="35674C09">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③严禁使用三无电器，使用大功率电器必须加装漏电保护开关；</w:t>
      </w:r>
    </w:p>
    <w:p w14:paraId="07F23A08">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④严禁改变房屋使用用途，严禁在生产、储存、经营场所违规住人；</w:t>
      </w:r>
    </w:p>
    <w:p w14:paraId="7D6043A5">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⑤严禁违规存放、售卖化学危险品、易燃易爆品、爆炸物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14:paraId="524353FB">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⑥严禁堵塞疏散通道和安全出口，应按照消防有关规定配备消防设备、设施或器材，设置安全标志。</w:t>
      </w:r>
    </w:p>
    <w:p w14:paraId="179892F8">
      <w:pPr>
        <w:keepNext w:val="0"/>
        <w:keepLines w:val="0"/>
        <w:pageBreakBefore w:val="0"/>
        <w:kinsoku/>
        <w:wordWrap/>
        <w:overflowPunct/>
        <w:topLinePunct w:val="0"/>
        <w:autoSpaceDE/>
        <w:autoSpaceDN/>
        <w:bidi w:val="0"/>
        <w:adjustRightInd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13.3 租赁期间，甲方有权不定期地对租赁物业进行安全检查并就发现的问题要求乙方整改，乙方应立即、无条件按甲方要求进行整改，由此产生的相关费用由乙方承担。</w:t>
      </w:r>
    </w:p>
    <w:p w14:paraId="3FCBA49B">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第十四条  书面文件送达</w:t>
      </w:r>
    </w:p>
    <w:p w14:paraId="587B0ECD">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14.1 本合同项下的物业坐落地址、乙方住所、本合同落款处邮寄地址均为乙方的有效送达地址。甲方可按租赁物业坐落地址、乙方住所或合同落款处邮寄地址以快递或挂号信向乙方进行送达。</w:t>
      </w:r>
    </w:p>
    <w:p w14:paraId="1A5CCA0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lang w:eastAsia="zh-Hans"/>
        </w:rPr>
      </w:pPr>
      <w:r>
        <w:rPr>
          <w:rFonts w:hint="eastAsia" w:ascii="新宋体" w:hAnsi="新宋体" w:eastAsia="新宋体" w:cs="新宋体"/>
          <w:sz w:val="24"/>
          <w:szCs w:val="24"/>
        </w:rPr>
        <w:t>14.2 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14:paraId="66A1C04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14.3 若乙方地址发生变化，应书面通知甲方，否则甲方向原地址送达即视为有效送达。</w:t>
      </w:r>
    </w:p>
    <w:p w14:paraId="4F2C0A2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14.4 乙方送达地址适用于双方非诉时各类通知等文件的送达及双方就合同发生纠纷时人民法院相关法律文书的送达，同时包括在争议进入民事诉讼程序后的一审、二审、发回重审、再审和执行等司法程序。</w:t>
      </w:r>
    </w:p>
    <w:p w14:paraId="10E956D7">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第十五条  争议解决</w:t>
      </w:r>
    </w:p>
    <w:p w14:paraId="4E3B9B1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15.1 对本合同的任何修改或补充，需采用书面形式，经双方签订确认后生效。对本合同的任何修改或补充，应视为本合同不可分割的组成部分。</w:t>
      </w:r>
    </w:p>
    <w:p w14:paraId="274F832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15.2 如合同在履行过程中发生争议，双方应通过友好协商的方式解决；协商不成，则任何一方可以向租赁物业所在地人民法院提起诉讼。</w:t>
      </w:r>
    </w:p>
    <w:p w14:paraId="770EFF62">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第十六条 本合同附件为本合同的有效组成部分，与本合同具有同等法律效力。</w:t>
      </w:r>
    </w:p>
    <w:p w14:paraId="703C184C">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 xml:space="preserve">第十七条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14:paraId="46F9E07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第十八条  甲方指定的收款银行账户：</w:t>
      </w:r>
    </w:p>
    <w:p w14:paraId="5027A836">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开户银行：</w:t>
      </w:r>
    </w:p>
    <w:p w14:paraId="78C0217C">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户　　名：</w:t>
      </w:r>
    </w:p>
    <w:p w14:paraId="6E8092B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账　　号：</w:t>
      </w:r>
      <w:r>
        <w:rPr>
          <w:rFonts w:hint="eastAsia" w:ascii="新宋体" w:hAnsi="新宋体" w:eastAsia="新宋体" w:cs="新宋体"/>
          <w:b/>
          <w:sz w:val="24"/>
          <w:szCs w:val="24"/>
        </w:rPr>
        <w:t xml:space="preserve">                                                                                </w:t>
      </w:r>
    </w:p>
    <w:p w14:paraId="702DBF79">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14:paraId="4C1F629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23C4D6B7">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323"/>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01BBDB63">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p>
    <w:p w14:paraId="6A5BA1F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20AD02C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5DEA1C74">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邮寄地址：                                       </w:t>
      </w:r>
    </w:p>
    <w:p w14:paraId="152F06AF">
      <w:pPr>
        <w:keepNext w:val="0"/>
        <w:keepLines w:val="0"/>
        <w:pageBreakBefore w:val="0"/>
        <w:widowControl/>
        <w:shd w:val="clear" w:color="auto" w:fill="FFFFFF"/>
        <w:kinsoku/>
        <w:wordWrap/>
        <w:overflowPunct/>
        <w:topLinePunct w:val="0"/>
        <w:autoSpaceDE/>
        <w:autoSpaceDN/>
        <w:bidi w:val="0"/>
        <w:snapToGrid/>
        <w:spacing w:line="288" w:lineRule="auto"/>
        <w:ind w:left="1180" w:leftChars="344" w:hanging="458" w:hangingChars="190"/>
        <w:jc w:val="left"/>
        <w:textAlignment w:val="auto"/>
        <w:rPr>
          <w:rFonts w:hint="eastAsia" w:ascii="新宋体" w:hAnsi="新宋体" w:eastAsia="新宋体" w:cs="新宋体"/>
          <w:b/>
          <w:kern w:val="0"/>
          <w:sz w:val="24"/>
          <w:szCs w:val="24"/>
        </w:rPr>
      </w:pPr>
    </w:p>
    <w:p w14:paraId="47BDC91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1A89DE7C">
      <w:pPr>
        <w:keepNext w:val="0"/>
        <w:keepLines w:val="0"/>
        <w:pageBreakBefore w:val="0"/>
        <w:widowControl/>
        <w:shd w:val="clear" w:color="auto" w:fill="FFFFFF"/>
        <w:kinsoku/>
        <w:wordWrap/>
        <w:overflowPunct/>
        <w:topLinePunct w:val="0"/>
        <w:autoSpaceDE/>
        <w:autoSpaceDN/>
        <w:bidi w:val="0"/>
        <w:snapToGrid/>
        <w:spacing w:line="288" w:lineRule="auto"/>
        <w:ind w:firstLine="5072" w:firstLineChars="2105"/>
        <w:jc w:val="left"/>
        <w:textAlignment w:val="auto"/>
        <w:rPr>
          <w:rFonts w:hint="eastAsia" w:ascii="新宋体" w:hAnsi="新宋体" w:eastAsia="新宋体" w:cs="新宋体"/>
          <w:b/>
          <w:kern w:val="0"/>
          <w:sz w:val="24"/>
          <w:szCs w:val="24"/>
        </w:rPr>
      </w:pPr>
    </w:p>
    <w:p w14:paraId="3B2AB3CA">
      <w:pPr>
        <w:keepNext w:val="0"/>
        <w:keepLines w:val="0"/>
        <w:pageBreakBefore w:val="0"/>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签订地点：              签订时间： 年  月  日          </w:t>
      </w:r>
    </w:p>
    <w:p w14:paraId="4152B117">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pPr>
    </w:p>
    <w:p w14:paraId="30F2EE59">
      <w:pPr>
        <w:keepNext w:val="0"/>
        <w:keepLines w:val="0"/>
        <w:pageBreakBefore w:val="0"/>
        <w:kinsoku/>
        <w:wordWrap/>
        <w:overflowPunct/>
        <w:topLinePunct w:val="0"/>
        <w:autoSpaceDE/>
        <w:autoSpaceDN/>
        <w:bidi w:val="0"/>
        <w:snapToGrid/>
        <w:spacing w:line="288" w:lineRule="auto"/>
      </w:pPr>
    </w:p>
    <w:p w14:paraId="5396FCA5">
      <w:pPr>
        <w:keepNext w:val="0"/>
        <w:keepLines w:val="0"/>
        <w:pageBreakBefore w:val="0"/>
        <w:kinsoku/>
        <w:wordWrap/>
        <w:overflowPunct/>
        <w:topLinePunct w:val="0"/>
        <w:autoSpaceDE/>
        <w:autoSpaceDN/>
        <w:bidi w:val="0"/>
        <w:snapToGrid/>
        <w:spacing w:line="288" w:lineRule="auto"/>
        <w:jc w:val="left"/>
        <w:rPr>
          <w:rFonts w:ascii="黑体" w:hAnsi="黑体" w:eastAsia="黑体" w:cs="黑体"/>
          <w:sz w:val="32"/>
          <w:szCs w:val="32"/>
        </w:rPr>
      </w:pPr>
      <w:r>
        <w:rPr>
          <w:rFonts w:hint="eastAsia" w:ascii="黑体" w:hAnsi="黑体" w:eastAsia="黑体" w:cs="黑体"/>
          <w:sz w:val="32"/>
          <w:szCs w:val="32"/>
        </w:rPr>
        <w:t>附表</w:t>
      </w:r>
    </w:p>
    <w:tbl>
      <w:tblPr>
        <w:tblStyle w:val="3"/>
        <w:tblpPr w:leftFromText="180" w:rightFromText="180" w:vertAnchor="text" w:horzAnchor="page" w:tblpX="1420" w:tblpY="84"/>
        <w:tblOverlap w:val="never"/>
        <w:tblW w:w="9555" w:type="dxa"/>
        <w:tblInd w:w="0" w:type="dxa"/>
        <w:tblLayout w:type="fixed"/>
        <w:tblCellMar>
          <w:top w:w="0" w:type="dxa"/>
          <w:left w:w="108" w:type="dxa"/>
          <w:bottom w:w="0" w:type="dxa"/>
          <w:right w:w="108" w:type="dxa"/>
        </w:tblCellMar>
      </w:tblPr>
      <w:tblGrid>
        <w:gridCol w:w="2157"/>
        <w:gridCol w:w="7398"/>
      </w:tblGrid>
      <w:tr w14:paraId="18FAF322">
        <w:tblPrEx>
          <w:tblCellMar>
            <w:top w:w="0" w:type="dxa"/>
            <w:left w:w="108" w:type="dxa"/>
            <w:bottom w:w="0" w:type="dxa"/>
            <w:right w:w="108" w:type="dxa"/>
          </w:tblCellMar>
        </w:tblPrEx>
        <w:trPr>
          <w:trHeight w:val="1260" w:hRule="atLeast"/>
        </w:trPr>
        <w:tc>
          <w:tcPr>
            <w:tcW w:w="9555" w:type="dxa"/>
            <w:gridSpan w:val="2"/>
            <w:tcBorders>
              <w:top w:val="nil"/>
              <w:left w:val="nil"/>
              <w:bottom w:val="nil"/>
              <w:right w:val="nil"/>
            </w:tcBorders>
            <w:noWrap/>
            <w:vAlign w:val="center"/>
          </w:tcPr>
          <w:p w14:paraId="538CFF63">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房屋建筑移交确认单</w:t>
            </w:r>
          </w:p>
        </w:tc>
      </w:tr>
      <w:tr w14:paraId="3B6D5B24">
        <w:tblPrEx>
          <w:tblCellMar>
            <w:top w:w="0" w:type="dxa"/>
            <w:left w:w="108" w:type="dxa"/>
            <w:bottom w:w="0" w:type="dxa"/>
            <w:right w:w="108" w:type="dxa"/>
          </w:tblCellMar>
        </w:tblPrEx>
        <w:trPr>
          <w:trHeight w:val="440" w:hRule="atLeast"/>
        </w:trPr>
        <w:tc>
          <w:tcPr>
            <w:tcW w:w="2157" w:type="dxa"/>
            <w:tcBorders>
              <w:top w:val="single" w:color="000000" w:sz="8" w:space="0"/>
              <w:left w:val="single" w:color="000000" w:sz="8" w:space="0"/>
              <w:bottom w:val="single" w:color="000000" w:sz="4" w:space="0"/>
              <w:right w:val="single" w:color="000000" w:sz="4" w:space="0"/>
            </w:tcBorders>
            <w:noWrap/>
            <w:vAlign w:val="center"/>
          </w:tcPr>
          <w:p w14:paraId="267F2CFE">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18"/>
                <w:szCs w:val="18"/>
              </w:rPr>
            </w:pPr>
            <w:r>
              <w:rPr>
                <w:rFonts w:hint="eastAsia" w:ascii="宋体" w:hAnsi="宋体" w:cs="宋体"/>
                <w:color w:val="000000"/>
                <w:kern w:val="0"/>
                <w:sz w:val="24"/>
                <w:szCs w:val="24"/>
                <w:lang w:bidi="ar"/>
              </w:rPr>
              <w:t>移交方</w:t>
            </w:r>
          </w:p>
        </w:tc>
        <w:tc>
          <w:tcPr>
            <w:tcW w:w="7398" w:type="dxa"/>
            <w:tcBorders>
              <w:top w:val="single" w:color="000000" w:sz="8" w:space="0"/>
              <w:left w:val="single" w:color="000000" w:sz="4" w:space="0"/>
              <w:bottom w:val="single" w:color="000000" w:sz="4" w:space="0"/>
              <w:right w:val="single" w:color="000000" w:sz="8" w:space="0"/>
            </w:tcBorders>
            <w:noWrap/>
            <w:vAlign w:val="center"/>
          </w:tcPr>
          <w:p w14:paraId="3618510A">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2BB09D10">
        <w:tblPrEx>
          <w:tblCellMar>
            <w:top w:w="0" w:type="dxa"/>
            <w:left w:w="108" w:type="dxa"/>
            <w:bottom w:w="0" w:type="dxa"/>
            <w:right w:w="108" w:type="dxa"/>
          </w:tblCellMar>
        </w:tblPrEx>
        <w:trPr>
          <w:trHeight w:val="42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5B017A9B">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接收方</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26D7B9F3">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01AF94EC">
        <w:tblPrEx>
          <w:tblCellMar>
            <w:top w:w="0" w:type="dxa"/>
            <w:left w:w="108" w:type="dxa"/>
            <w:bottom w:w="0" w:type="dxa"/>
            <w:right w:w="108" w:type="dxa"/>
          </w:tblCellMar>
        </w:tblPrEx>
        <w:trPr>
          <w:trHeight w:val="39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37482487">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坐</w:t>
            </w:r>
            <w:r>
              <w:rPr>
                <w:rFonts w:hint="eastAsia" w:ascii="宋体" w:hAnsi="宋体" w:cs="宋体"/>
                <w:color w:val="000000"/>
                <w:kern w:val="0"/>
                <w:sz w:val="24"/>
                <w:szCs w:val="24"/>
                <w:lang w:bidi="ar"/>
              </w:rPr>
              <w:t>落及名称</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0079F193">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2087A99E">
        <w:tblPrEx>
          <w:tblCellMar>
            <w:top w:w="0" w:type="dxa"/>
            <w:left w:w="108" w:type="dxa"/>
            <w:bottom w:w="0" w:type="dxa"/>
            <w:right w:w="108" w:type="dxa"/>
          </w:tblCellMar>
        </w:tblPrEx>
        <w:trPr>
          <w:trHeight w:val="375"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6757D7BD">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租赁合同编号</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7DABA749">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4F48776D">
        <w:tblPrEx>
          <w:tblCellMar>
            <w:top w:w="0" w:type="dxa"/>
            <w:left w:w="108" w:type="dxa"/>
            <w:bottom w:w="0" w:type="dxa"/>
            <w:right w:w="108" w:type="dxa"/>
          </w:tblCellMar>
        </w:tblPrEx>
        <w:trPr>
          <w:trHeight w:val="3970" w:hRule="atLeast"/>
        </w:trPr>
        <w:tc>
          <w:tcPr>
            <w:tcW w:w="9555" w:type="dxa"/>
            <w:gridSpan w:val="2"/>
            <w:tcBorders>
              <w:top w:val="single" w:color="000000" w:sz="4" w:space="0"/>
              <w:left w:val="single" w:color="000000" w:sz="8" w:space="0"/>
              <w:bottom w:val="single" w:color="000000" w:sz="4" w:space="0"/>
              <w:right w:val="single" w:color="000000" w:sz="8" w:space="0"/>
            </w:tcBorders>
            <w:noWrap w:val="0"/>
            <w:vAlign w:val="top"/>
          </w:tcPr>
          <w:p w14:paraId="6816DF69">
            <w:pPr>
              <w:keepNext w:val="0"/>
              <w:keepLines w:val="0"/>
              <w:pageBreakBefore w:val="0"/>
              <w:widowControl/>
              <w:kinsoku/>
              <w:wordWrap/>
              <w:overflowPunct/>
              <w:topLinePunct w:val="0"/>
              <w:autoSpaceDE/>
              <w:autoSpaceDN/>
              <w:bidi w:val="0"/>
              <w:snapToGrid/>
              <w:spacing w:line="288" w:lineRule="auto"/>
              <w:ind w:firstLine="283"/>
              <w:jc w:val="left"/>
              <w:textAlignment w:val="top"/>
              <w:rPr>
                <w:rFonts w:ascii="宋体" w:hAnsi="宋体" w:cs="宋体"/>
                <w:b/>
                <w:bCs/>
                <w:color w:val="000000"/>
                <w:sz w:val="18"/>
                <w:szCs w:val="18"/>
              </w:rPr>
            </w:pPr>
            <w:r>
              <w:rPr>
                <w:rStyle w:val="5"/>
                <w:rFonts w:hint="default"/>
                <w:sz w:val="18"/>
                <w:szCs w:val="18"/>
                <w:lang w:bidi="ar"/>
              </w:rPr>
              <w:t>房屋交接时，双方确认如下：</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1.电表读数：</w:t>
            </w:r>
            <w:r>
              <w:rPr>
                <w:rStyle w:val="7"/>
                <w:rFonts w:hint="default"/>
                <w:sz w:val="18"/>
                <w:szCs w:val="18"/>
                <w:lang w:bidi="ar"/>
              </w:rPr>
              <w:t xml:space="preserve">           </w:t>
            </w:r>
            <w:r>
              <w:rPr>
                <w:rStyle w:val="6"/>
                <w:rFonts w:hint="default"/>
                <w:sz w:val="18"/>
                <w:szCs w:val="18"/>
                <w:lang w:bidi="ar"/>
              </w:rPr>
              <w:t>，电费是否结清：是</w:t>
            </w:r>
            <w:r>
              <w:rPr>
                <w:rStyle w:val="8"/>
                <w:sz w:val="18"/>
                <w:szCs w:val="18"/>
                <w:lang w:bidi="ar"/>
              </w:rPr>
              <w:t></w:t>
            </w:r>
            <w:r>
              <w:rPr>
                <w:rStyle w:val="6"/>
                <w:rFonts w:hint="default"/>
                <w:sz w:val="18"/>
                <w:szCs w:val="18"/>
                <w:lang w:bidi="ar"/>
              </w:rPr>
              <w:t>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2.水表读数：</w:t>
            </w:r>
            <w:r>
              <w:rPr>
                <w:rStyle w:val="7"/>
                <w:rFonts w:hint="default"/>
                <w:sz w:val="18"/>
                <w:szCs w:val="18"/>
                <w:lang w:bidi="ar"/>
              </w:rPr>
              <w:t xml:space="preserve">           </w:t>
            </w:r>
            <w:r>
              <w:rPr>
                <w:rStyle w:val="6"/>
                <w:rFonts w:hint="default"/>
                <w:sz w:val="18"/>
                <w:szCs w:val="18"/>
                <w:lang w:bidi="ar"/>
              </w:rPr>
              <w:t>，水费是否结清：是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3.燃气表读数：</w:t>
            </w:r>
            <w:r>
              <w:rPr>
                <w:rStyle w:val="7"/>
                <w:rFonts w:hint="default"/>
                <w:sz w:val="18"/>
                <w:szCs w:val="18"/>
                <w:lang w:bidi="ar"/>
              </w:rPr>
              <w:t xml:space="preserve">           </w:t>
            </w:r>
            <w:r>
              <w:rPr>
                <w:rStyle w:val="6"/>
                <w:rFonts w:hint="default"/>
                <w:sz w:val="18"/>
                <w:szCs w:val="18"/>
                <w:lang w:bidi="ar"/>
              </w:rPr>
              <w:t>，燃气费用是否结清：是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4.物业费等其他费用是否结清：是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5.房屋建筑结构是否改变：是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6.房屋建筑内物品是否腾空：是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7"/>
                <w:rFonts w:hint="default"/>
                <w:sz w:val="18"/>
                <w:szCs w:val="18"/>
                <w:lang w:bidi="ar"/>
              </w:rPr>
              <w:br w:type="textWrapping"/>
            </w:r>
            <w:r>
              <w:rPr>
                <w:rStyle w:val="7"/>
                <w:rFonts w:hint="default"/>
                <w:sz w:val="18"/>
                <w:szCs w:val="18"/>
                <w:lang w:bidi="ar"/>
              </w:rPr>
              <w:br w:type="textWrapping"/>
            </w:r>
            <w:r>
              <w:rPr>
                <w:rStyle w:val="6"/>
                <w:rFonts w:hint="default"/>
                <w:sz w:val="18"/>
                <w:szCs w:val="18"/>
                <w:lang w:bidi="ar"/>
              </w:rPr>
              <w:t>7.其他情况：</w:t>
            </w:r>
            <w:r>
              <w:rPr>
                <w:rStyle w:val="7"/>
                <w:rFonts w:hint="default"/>
                <w:sz w:val="18"/>
                <w:szCs w:val="18"/>
                <w:lang w:bidi="ar"/>
              </w:rPr>
              <w:t xml:space="preserve">                                                                        </w:t>
            </w:r>
          </w:p>
        </w:tc>
      </w:tr>
      <w:tr w14:paraId="688333A0">
        <w:tblPrEx>
          <w:tblCellMar>
            <w:top w:w="0" w:type="dxa"/>
            <w:left w:w="108" w:type="dxa"/>
            <w:bottom w:w="0" w:type="dxa"/>
            <w:right w:w="108" w:type="dxa"/>
          </w:tblCellMar>
        </w:tblPrEx>
        <w:trPr>
          <w:trHeight w:val="660"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13FA2A0C">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8"/>
                <w:szCs w:val="28"/>
              </w:rPr>
            </w:pPr>
            <w:r>
              <w:rPr>
                <w:rFonts w:hint="eastAsia" w:ascii="宋体" w:hAnsi="宋体" w:cs="宋体"/>
                <w:color w:val="000000"/>
                <w:kern w:val="0"/>
                <w:sz w:val="24"/>
                <w:szCs w:val="24"/>
                <w:lang w:bidi="ar"/>
              </w:rPr>
              <w:t>移交时间</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09BD254C">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28"/>
                <w:szCs w:val="28"/>
              </w:rPr>
            </w:pPr>
          </w:p>
        </w:tc>
      </w:tr>
      <w:tr w14:paraId="76B0BD5B">
        <w:tblPrEx>
          <w:tblCellMar>
            <w:top w:w="0" w:type="dxa"/>
            <w:left w:w="108" w:type="dxa"/>
            <w:bottom w:w="0" w:type="dxa"/>
            <w:right w:w="108" w:type="dxa"/>
          </w:tblCellMar>
        </w:tblPrEx>
        <w:trPr>
          <w:trHeight w:val="3003" w:hRule="atLeast"/>
        </w:trPr>
        <w:tc>
          <w:tcPr>
            <w:tcW w:w="9555" w:type="dxa"/>
            <w:gridSpan w:val="2"/>
            <w:tcBorders>
              <w:top w:val="single" w:color="000000" w:sz="4" w:space="0"/>
              <w:left w:val="single" w:color="000000" w:sz="8" w:space="0"/>
              <w:bottom w:val="single" w:color="000000" w:sz="8" w:space="0"/>
              <w:right w:val="single" w:color="000000" w:sz="8" w:space="0"/>
            </w:tcBorders>
            <w:noWrap w:val="0"/>
            <w:vAlign w:val="top"/>
          </w:tcPr>
          <w:p w14:paraId="5675FA79">
            <w:pPr>
              <w:keepNext w:val="0"/>
              <w:keepLines w:val="0"/>
              <w:pageBreakBefore w:val="0"/>
              <w:widowControl/>
              <w:kinsoku/>
              <w:wordWrap/>
              <w:overflowPunct/>
              <w:topLinePunct w:val="0"/>
              <w:autoSpaceDE/>
              <w:autoSpaceDN/>
              <w:bidi w:val="0"/>
              <w:snapToGrid/>
              <w:spacing w:line="288" w:lineRule="auto"/>
              <w:ind w:firstLine="280"/>
              <w:jc w:val="left"/>
              <w:textAlignment w:val="top"/>
              <w:rPr>
                <w:rFonts w:ascii="宋体" w:hAnsi="宋体" w:cs="宋体"/>
                <w:color w:val="000000"/>
                <w:sz w:val="28"/>
                <w:szCs w:val="28"/>
              </w:rPr>
            </w:pPr>
            <w:r>
              <w:rPr>
                <w:rFonts w:hint="eastAsia" w:ascii="宋体" w:hAnsi="宋体" w:cs="宋体"/>
                <w:color w:val="000000"/>
                <w:kern w:val="0"/>
                <w:sz w:val="28"/>
                <w:szCs w:val="28"/>
                <w:bdr w:val="single" w:color="000000" w:sz="8" w:space="0"/>
              </w:rPr>
              <w:drawing>
                <wp:anchor distT="0" distB="0" distL="114300" distR="114300" simplePos="0" relativeHeight="251660288" behindDoc="0" locked="0" layoutInCell="1" allowOverlap="1">
                  <wp:simplePos x="0" y="0"/>
                  <wp:positionH relativeFrom="column">
                    <wp:posOffset>1132840</wp:posOffset>
                  </wp:positionH>
                  <wp:positionV relativeFrom="paragraph">
                    <wp:posOffset>1126490</wp:posOffset>
                  </wp:positionV>
                  <wp:extent cx="3634740" cy="325755"/>
                  <wp:effectExtent l="0" t="0" r="7620" b="9525"/>
                  <wp:wrapNone/>
                  <wp:docPr id="2" name="__SpCnt_1"/>
                  <wp:cNvGraphicFramePr/>
                  <a:graphic xmlns:a="http://schemas.openxmlformats.org/drawingml/2006/main">
                    <a:graphicData uri="http://schemas.openxmlformats.org/drawingml/2006/picture">
                      <pic:pic xmlns:pic="http://schemas.openxmlformats.org/drawingml/2006/picture">
                        <pic:nvPicPr>
                          <pic:cNvPr id="2" name="__SpCnt_1"/>
                          <pic:cNvPicPr/>
                        </pic:nvPicPr>
                        <pic:blipFill>
                          <a:blip r:embed="rId4"/>
                          <a:stretch>
                            <a:fillRect/>
                          </a:stretch>
                        </pic:blipFill>
                        <pic:spPr>
                          <a:xfrm>
                            <a:off x="0" y="0"/>
                            <a:ext cx="3634740" cy="32575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61312" behindDoc="0" locked="0" layoutInCell="1" allowOverlap="1">
                  <wp:simplePos x="0" y="0"/>
                  <wp:positionH relativeFrom="column">
                    <wp:posOffset>4309745</wp:posOffset>
                  </wp:positionH>
                  <wp:positionV relativeFrom="paragraph">
                    <wp:posOffset>208915</wp:posOffset>
                  </wp:positionV>
                  <wp:extent cx="1268095" cy="774065"/>
                  <wp:effectExtent l="0" t="0" r="12065" b="3175"/>
                  <wp:wrapNone/>
                  <wp:docPr id="1" name="__SpCnt_2"/>
                  <wp:cNvGraphicFramePr/>
                  <a:graphic xmlns:a="http://schemas.openxmlformats.org/drawingml/2006/main">
                    <a:graphicData uri="http://schemas.openxmlformats.org/drawingml/2006/picture">
                      <pic:pic xmlns:pic="http://schemas.openxmlformats.org/drawingml/2006/picture">
                        <pic:nvPicPr>
                          <pic:cNvPr id="1" name="__SpCnt_2"/>
                          <pic:cNvPicPr/>
                        </pic:nvPicPr>
                        <pic:blipFill>
                          <a:blip r:embed="rId5"/>
                          <a:stretch>
                            <a:fillRect/>
                          </a:stretch>
                        </pic:blipFill>
                        <pic:spPr>
                          <a:xfrm>
                            <a:off x="0" y="0"/>
                            <a:ext cx="1268095" cy="77406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59264" behindDoc="0" locked="0" layoutInCell="1" allowOverlap="1">
                  <wp:simplePos x="0" y="0"/>
                  <wp:positionH relativeFrom="column">
                    <wp:posOffset>227330</wp:posOffset>
                  </wp:positionH>
                  <wp:positionV relativeFrom="paragraph">
                    <wp:posOffset>211455</wp:posOffset>
                  </wp:positionV>
                  <wp:extent cx="1352550" cy="858520"/>
                  <wp:effectExtent l="0" t="0" r="3810" b="10160"/>
                  <wp:wrapNone/>
                  <wp:docPr id="3" name="_"/>
                  <wp:cNvGraphicFramePr/>
                  <a:graphic xmlns:a="http://schemas.openxmlformats.org/drawingml/2006/main">
                    <a:graphicData uri="http://schemas.openxmlformats.org/drawingml/2006/picture">
                      <pic:pic xmlns:pic="http://schemas.openxmlformats.org/drawingml/2006/picture">
                        <pic:nvPicPr>
                          <pic:cNvPr id="3" name="_"/>
                          <pic:cNvPicPr/>
                        </pic:nvPicPr>
                        <pic:blipFill>
                          <a:blip r:embed="rId6"/>
                          <a:stretch>
                            <a:fillRect/>
                          </a:stretch>
                        </pic:blipFill>
                        <pic:spPr>
                          <a:xfrm>
                            <a:off x="0" y="0"/>
                            <a:ext cx="1352550" cy="858520"/>
                          </a:xfrm>
                          <a:prstGeom prst="rect">
                            <a:avLst/>
                          </a:prstGeom>
                          <a:noFill/>
                          <a:ln>
                            <a:noFill/>
                          </a:ln>
                        </pic:spPr>
                      </pic:pic>
                    </a:graphicData>
                  </a:graphic>
                </wp:anchor>
              </w:drawing>
            </w:r>
          </w:p>
        </w:tc>
      </w:tr>
    </w:tbl>
    <w:p w14:paraId="3740895E">
      <w:pPr>
        <w:keepNext w:val="0"/>
        <w:keepLines w:val="0"/>
        <w:pageBreakBefore w:val="0"/>
        <w:kinsoku/>
        <w:wordWrap/>
        <w:overflowPunct/>
        <w:topLinePunct w:val="0"/>
        <w:autoSpaceDE/>
        <w:autoSpaceDN/>
        <w:bidi w:val="0"/>
        <w:snapToGrid/>
        <w:spacing w:line="288" w:lineRule="auto"/>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0CA27F6D"/>
    <w:rsid w:val="13195426"/>
    <w:rsid w:val="1BB63C29"/>
    <w:rsid w:val="20BF0C96"/>
    <w:rsid w:val="279506BE"/>
    <w:rsid w:val="43CD6482"/>
    <w:rsid w:val="4DF04081"/>
    <w:rsid w:val="549A0BC1"/>
    <w:rsid w:val="62DD4155"/>
    <w:rsid w:val="631D3F45"/>
    <w:rsid w:val="7437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31"/>
    <w:autoRedefine/>
    <w:qFormat/>
    <w:uiPriority w:val="0"/>
    <w:rPr>
      <w:rFonts w:hint="eastAsia" w:ascii="宋体" w:hAnsi="宋体" w:eastAsia="宋体" w:cs="宋体"/>
      <w:b/>
      <w:bCs/>
      <w:color w:val="000000"/>
      <w:sz w:val="28"/>
      <w:szCs w:val="28"/>
      <w:u w:val="none"/>
    </w:rPr>
  </w:style>
  <w:style w:type="character" w:customStyle="1" w:styleId="6">
    <w:name w:val="font41"/>
    <w:autoRedefine/>
    <w:qFormat/>
    <w:uiPriority w:val="0"/>
    <w:rPr>
      <w:rFonts w:hint="eastAsia" w:ascii="宋体" w:hAnsi="宋体" w:eastAsia="宋体" w:cs="宋体"/>
      <w:color w:val="000000"/>
      <w:sz w:val="22"/>
      <w:szCs w:val="22"/>
      <w:u w:val="none"/>
    </w:rPr>
  </w:style>
  <w:style w:type="character" w:customStyle="1" w:styleId="7">
    <w:name w:val="font51"/>
    <w:autoRedefine/>
    <w:qFormat/>
    <w:uiPriority w:val="0"/>
    <w:rPr>
      <w:rFonts w:hint="eastAsia" w:ascii="宋体" w:hAnsi="宋体" w:eastAsia="宋体" w:cs="宋体"/>
      <w:color w:val="000000"/>
      <w:sz w:val="22"/>
      <w:szCs w:val="22"/>
      <w:u w:val="single"/>
    </w:rPr>
  </w:style>
  <w:style w:type="character" w:customStyle="1" w:styleId="8">
    <w:name w:val="font61"/>
    <w:autoRedefine/>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5728</Words>
  <Characters>5851</Characters>
  <Lines>0</Lines>
  <Paragraphs>0</Paragraphs>
  <TotalTime>6</TotalTime>
  <ScaleCrop>false</ScaleCrop>
  <LinksUpToDate>false</LinksUpToDate>
  <CharactersWithSpaces>6689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2024-10-23T07:12:00Z</dcterms:created>
  <dc:creator>Hauwei</dc:creator>
  <cp:lastModifiedBy>郭凤玲</cp:lastModifiedBy>
  <dcterms:modified xsi:type="dcterms:W3CDTF">2026-01-09T14:24:55Z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37B77EC4341B4356985C6E8E40DD9C65_12</vt:lpwstr>
  </property>
  <property fmtid="{D5CDD505-2E9C-101B-9397-08002B2CF9AE}" pid="4" name="KSOTemplateDocerSaveRecord">
    <vt:lpwstr>eyJoZGlkIjoiZTcxMWY5ZjhkNzlhY2VhYjBmNmE4YjcyODI2NDRhMGQiLCJ1c2VySWQiOiIxMDA1OTAxMTU3In0=</vt:lpwstr>
  </property>
</Properties>
</file>